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91" w:rsidRDefault="00FB7F91" w:rsidP="00FB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FB7F91" w:rsidTr="001C5C05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1C5C05" w:rsidP="001463CE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867E7" wp14:editId="55A6B9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7F91" w:rsidRPr="00CC267C" w:rsidRDefault="00FB7F91" w:rsidP="00FB7F9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7F91" w:rsidRPr="005462BD" w:rsidRDefault="00FB7F91" w:rsidP="00FB7F91">
      <w:pPr>
        <w:spacing w:after="0"/>
        <w:rPr>
          <w:szCs w:val="28"/>
        </w:rPr>
      </w:pPr>
    </w:p>
    <w:p w:rsidR="00FB7F91" w:rsidRDefault="00FB7F91" w:rsidP="00FB7F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>4 октября</w:t>
      </w:r>
      <w:r>
        <w:rPr>
          <w:rFonts w:eastAsia="Calibri"/>
          <w:bCs/>
          <w:szCs w:val="28"/>
        </w:rPr>
        <w:t xml:space="preserve"> 2023 года</w:t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 xml:space="preserve">            №74</w:t>
      </w:r>
      <w:r>
        <w:rPr>
          <w:rFonts w:eastAsia="Calibri"/>
          <w:bCs/>
          <w:szCs w:val="28"/>
        </w:rPr>
        <w:t>/1-5</w:t>
      </w:r>
    </w:p>
    <w:p w:rsidR="00FB7F91" w:rsidRDefault="00FB7F91" w:rsidP="00FB7F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00DFB" w:rsidRDefault="009C5C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1C5C05" w:rsidRDefault="009C5CEE" w:rsidP="00777052">
      <w:pPr>
        <w:spacing w:after="0" w:line="240" w:lineRule="auto"/>
        <w:ind w:left="0"/>
        <w:jc w:val="center"/>
      </w:pPr>
      <w:r>
        <w:t xml:space="preserve">О </w:t>
      </w:r>
      <w:r w:rsidR="00777052">
        <w:t xml:space="preserve">досрочном </w:t>
      </w:r>
      <w:r>
        <w:t>прекращении полномочий   члена участковой избирательной комиссии</w:t>
      </w:r>
      <w:r w:rsidR="00777052">
        <w:t xml:space="preserve"> </w:t>
      </w:r>
      <w:r>
        <w:t xml:space="preserve">избирательного участка № </w:t>
      </w:r>
      <w:r w:rsidR="001C5C05">
        <w:t>2932</w:t>
      </w:r>
      <w:r>
        <w:t xml:space="preserve"> с правом решающего голоса </w:t>
      </w:r>
    </w:p>
    <w:p w:rsidR="00600DFB" w:rsidRDefault="001C5C05" w:rsidP="001C5C05">
      <w:pPr>
        <w:spacing w:after="0" w:line="240" w:lineRule="auto"/>
        <w:ind w:left="0" w:firstLine="0"/>
        <w:jc w:val="center"/>
      </w:pPr>
      <w:proofErr w:type="spellStart"/>
      <w:r>
        <w:t>Шарафиева</w:t>
      </w:r>
      <w:proofErr w:type="spellEnd"/>
      <w:r>
        <w:t xml:space="preserve"> Ильмира </w:t>
      </w:r>
      <w:proofErr w:type="spellStart"/>
      <w:r>
        <w:t>Наиловича</w:t>
      </w:r>
      <w:proofErr w:type="spellEnd"/>
    </w:p>
    <w:p w:rsidR="00600DFB" w:rsidRDefault="009C5CEE">
      <w:pPr>
        <w:spacing w:after="186" w:line="259" w:lineRule="auto"/>
        <w:ind w:left="639" w:firstLine="0"/>
        <w:jc w:val="center"/>
      </w:pPr>
      <w:r>
        <w:t xml:space="preserve"> </w:t>
      </w:r>
    </w:p>
    <w:p w:rsidR="00600DFB" w:rsidRDefault="009C5CEE" w:rsidP="001C5C05">
      <w:pPr>
        <w:spacing w:after="36" w:line="276" w:lineRule="auto"/>
        <w:ind w:left="-15" w:firstLine="566"/>
      </w:pPr>
      <w:r>
        <w:t xml:space="preserve"> </w:t>
      </w:r>
      <w: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</w:t>
      </w:r>
      <w:r w:rsidR="001C5C05">
        <w:t xml:space="preserve"> о выборах</w:t>
      </w:r>
      <w:r>
        <w:t>, территориальная избирательная комиссия</w:t>
      </w:r>
      <w:r w:rsidR="001C5C05">
        <w:t xml:space="preserve"> муниципального района Татышлинский район Республики Башкортостан</w:t>
      </w:r>
      <w:r>
        <w:t xml:space="preserve"> ре</w:t>
      </w:r>
      <w:r>
        <w:t xml:space="preserve">шила: </w:t>
      </w:r>
    </w:p>
    <w:p w:rsidR="00600DFB" w:rsidRDefault="009C5CEE" w:rsidP="001C5C05">
      <w:pPr>
        <w:spacing w:after="0" w:line="276" w:lineRule="auto"/>
        <w:ind w:left="0" w:firstLine="551"/>
      </w:pPr>
      <w:bookmarkStart w:id="0" w:name="_GoBack"/>
      <w:r>
        <w:t xml:space="preserve">1. Освободить </w:t>
      </w:r>
      <w:proofErr w:type="spellStart"/>
      <w:r w:rsidR="001C5C05">
        <w:t>Шарафиева</w:t>
      </w:r>
      <w:proofErr w:type="spellEnd"/>
      <w:r w:rsidR="001C5C05">
        <w:t xml:space="preserve"> Ильмира </w:t>
      </w:r>
      <w:proofErr w:type="spellStart"/>
      <w:r w:rsidR="001C5C05">
        <w:t>Наиловича</w:t>
      </w:r>
      <w:proofErr w:type="spellEnd"/>
      <w:r w:rsidR="001C5C05">
        <w:t xml:space="preserve"> </w:t>
      </w:r>
      <w:r>
        <w:t>от обязанностей члена участковой комис</w:t>
      </w:r>
      <w:r w:rsidR="001C5C05">
        <w:t>сии избирательного участка № 2932</w:t>
      </w:r>
      <w:r>
        <w:t xml:space="preserve"> с правом решающ</w:t>
      </w:r>
      <w:r w:rsidR="001C5C05">
        <w:t>его голоса до истечения срока его</w:t>
      </w:r>
      <w:r>
        <w:t xml:space="preserve"> полномочий. (Заявление прилагается). </w:t>
      </w:r>
    </w:p>
    <w:p w:rsidR="009C5CEE" w:rsidRDefault="009C5CEE" w:rsidP="009C5CEE">
      <w:pPr>
        <w:spacing w:after="0" w:line="259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</w:t>
      </w:r>
      <w:r w:rsidRPr="009C5CEE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C5CEE">
        <w:rPr>
          <w:bCs/>
          <w:szCs w:val="28"/>
        </w:rPr>
        <w:t>Бадрисламову</w:t>
      </w:r>
      <w:proofErr w:type="spellEnd"/>
      <w:r w:rsidRPr="009C5CEE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9C5CEE" w:rsidRPr="004C4677" w:rsidRDefault="009C5CEE" w:rsidP="009C5CEE">
      <w:pPr>
        <w:spacing w:after="0" w:line="259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 w:rsidRPr="004C4677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секретаря</w:t>
      </w:r>
      <w:r w:rsidRPr="004C4677">
        <w:rPr>
          <w:szCs w:val="28"/>
        </w:rPr>
        <w:t xml:space="preserve"> территориальной избирательной комиссии муниципального района </w:t>
      </w:r>
      <w:r>
        <w:rPr>
          <w:szCs w:val="28"/>
        </w:rPr>
        <w:t>Татышлинский</w:t>
      </w:r>
      <w:r w:rsidRPr="004C4677">
        <w:rPr>
          <w:szCs w:val="28"/>
        </w:rPr>
        <w:t xml:space="preserve"> район Республики Башкортостан </w:t>
      </w:r>
      <w:r>
        <w:rPr>
          <w:szCs w:val="28"/>
        </w:rPr>
        <w:t>Мухаметшина Р.М.</w:t>
      </w:r>
    </w:p>
    <w:bookmarkEnd w:id="0"/>
    <w:p w:rsidR="00600DFB" w:rsidRDefault="009C5CEE" w:rsidP="009C5CEE">
      <w:pPr>
        <w:spacing w:after="131" w:line="276" w:lineRule="auto"/>
        <w:ind w:left="639" w:firstLine="0"/>
      </w:pPr>
      <w:r>
        <w:t xml:space="preserve"> </w:t>
      </w:r>
    </w:p>
    <w:p w:rsidR="00600DFB" w:rsidRDefault="009C5CEE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 w:rsidR="001C5C05">
        <w:tab/>
        <w:t>Р.Р. Муфтахов</w:t>
      </w:r>
      <w:r>
        <w:t xml:space="preserve"> </w:t>
      </w:r>
    </w:p>
    <w:p w:rsidR="00600DFB" w:rsidRDefault="009C5CEE">
      <w:pPr>
        <w:spacing w:after="0" w:line="259" w:lineRule="auto"/>
        <w:ind w:left="0" w:firstLine="0"/>
        <w:jc w:val="left"/>
      </w:pPr>
      <w:r>
        <w:t xml:space="preserve"> </w:t>
      </w:r>
    </w:p>
    <w:p w:rsidR="00600DFB" w:rsidRDefault="009C5CEE">
      <w:pPr>
        <w:ind w:left="-5"/>
      </w:pPr>
      <w:r>
        <w:t xml:space="preserve">Секретарь                                                     </w:t>
      </w:r>
      <w:r w:rsidR="001C5C05">
        <w:tab/>
      </w:r>
      <w:r w:rsidR="001C5C05">
        <w:tab/>
      </w:r>
      <w:r w:rsidR="001C5C05">
        <w:tab/>
        <w:t>Р.М. Мухаметшин</w:t>
      </w:r>
      <w:r>
        <w:t xml:space="preserve"> </w:t>
      </w:r>
    </w:p>
    <w:sectPr w:rsidR="00600DFB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FB"/>
    <w:rsid w:val="001C5C05"/>
    <w:rsid w:val="00600DFB"/>
    <w:rsid w:val="00777052"/>
    <w:rsid w:val="009C5CEE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64A1"/>
  <w15:docId w15:val="{BE57F3A4-609C-47E4-AA71-FD1D89F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7F9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7F91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C5C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6</cp:revision>
  <dcterms:created xsi:type="dcterms:W3CDTF">2023-10-03T12:05:00Z</dcterms:created>
  <dcterms:modified xsi:type="dcterms:W3CDTF">2023-10-04T07:03:00Z</dcterms:modified>
</cp:coreProperties>
</file>