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F4B1E" w:rsidRPr="006F4B1E">
        <w:rPr>
          <w:rFonts w:ascii="Times New Roman" w:hAnsi="Times New Roman"/>
          <w:sz w:val="28"/>
          <w:szCs w:val="28"/>
          <w:lang w:eastAsia="ru-RU"/>
        </w:rPr>
        <w:t>от 14</w:t>
      </w:r>
      <w:r w:rsidRPr="006F4B1E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6F4B1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6F4B1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6F4B1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6F4B1E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6F4B1E" w:rsidRPr="006F4B1E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6F4B1E">
        <w:rPr>
          <w:rFonts w:ascii="Times New Roman" w:hAnsi="Times New Roman"/>
          <w:sz w:val="28"/>
          <w:szCs w:val="28"/>
          <w:lang w:eastAsia="ru-RU"/>
        </w:rPr>
        <w:t>6/1-2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384" w:rsidRDefault="00265326" w:rsidP="00265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О регистрации уполномоченного представителя </w:t>
      </w:r>
      <w:proofErr w:type="spellStart"/>
      <w:r w:rsidR="00B16384">
        <w:rPr>
          <w:rFonts w:ascii="Times New Roman" w:eastAsia="Times New Roman" w:hAnsi="Times New Roman"/>
          <w:b/>
          <w:bCs/>
          <w:sz w:val="28"/>
          <w:szCs w:val="28"/>
        </w:rPr>
        <w:t>Башкортостанского</w:t>
      </w:r>
      <w:proofErr w:type="spellEnd"/>
      <w:r w:rsidR="00B16384">
        <w:rPr>
          <w:rFonts w:ascii="Times New Roman" w:eastAsia="Times New Roman" w:hAnsi="Times New Roman"/>
          <w:b/>
          <w:bCs/>
          <w:sz w:val="28"/>
          <w:szCs w:val="28"/>
        </w:rPr>
        <w:t xml:space="preserve"> регионального отделения</w:t>
      </w:r>
      <w:r w:rsidR="00B16384" w:rsidRPr="00B16384">
        <w:rPr>
          <w:rFonts w:ascii="Times New Roman" w:eastAsia="Times New Roman" w:hAnsi="Times New Roman"/>
          <w:b/>
          <w:bCs/>
          <w:sz w:val="28"/>
          <w:szCs w:val="28"/>
        </w:rPr>
        <w:t xml:space="preserve"> политической партии «ПАТРИОТЫ РОССИИ»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 </w:t>
      </w:r>
    </w:p>
    <w:p w:rsidR="00265326" w:rsidRDefault="00265326" w:rsidP="00265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Рассмотрев документы, представленные для регистрации уполномоченного представителя </w:t>
      </w:r>
      <w:proofErr w:type="spellStart"/>
      <w:r w:rsidR="00B16384" w:rsidRPr="00B16384">
        <w:rPr>
          <w:rFonts w:ascii="Times New Roman" w:eastAsia="Times New Roman" w:hAnsi="Times New Roman"/>
          <w:sz w:val="28"/>
          <w:szCs w:val="28"/>
        </w:rPr>
        <w:t>Башкортостанского</w:t>
      </w:r>
      <w:proofErr w:type="spellEnd"/>
      <w:r w:rsidR="00B16384" w:rsidRPr="00B16384">
        <w:rPr>
          <w:rFonts w:ascii="Times New Roman" w:eastAsia="Times New Roman" w:hAnsi="Times New Roman"/>
          <w:sz w:val="28"/>
          <w:szCs w:val="28"/>
        </w:rPr>
        <w:t xml:space="preserve"> регионального отделения политической партии «ПАТРИОТЫ РОССИИ»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года, в соответствии со статьями 23, 42 Кодекса Республики Башкортостан о выборах территориальная избирательная комиссия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987891" w:rsidRPr="00987891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 w:rsidR="00987891" w:rsidRPr="009878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возложены полномочия избирательных комиссий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решила: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1.Зарегистрировать </w:t>
      </w:r>
      <w:r w:rsidR="00B16384">
        <w:rPr>
          <w:rFonts w:ascii="Times New Roman" w:eastAsia="Times New Roman" w:hAnsi="Times New Roman"/>
          <w:sz w:val="28"/>
          <w:szCs w:val="28"/>
        </w:rPr>
        <w:t>Васюткина</w:t>
      </w:r>
      <w:r w:rsidR="00EE2F0B">
        <w:rPr>
          <w:rFonts w:ascii="Times New Roman" w:eastAsia="Times New Roman" w:hAnsi="Times New Roman"/>
          <w:sz w:val="28"/>
          <w:szCs w:val="28"/>
        </w:rPr>
        <w:t xml:space="preserve"> Сергея Юревича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уполномоченным представителем </w:t>
      </w:r>
      <w:r w:rsidR="00EE2F0B">
        <w:rPr>
          <w:rFonts w:ascii="Times New Roman" w:eastAsia="Times New Roman" w:hAnsi="Times New Roman"/>
          <w:sz w:val="28"/>
          <w:szCs w:val="28"/>
        </w:rPr>
        <w:t xml:space="preserve">избирательного объединения </w:t>
      </w:r>
      <w:proofErr w:type="spellStart"/>
      <w:r w:rsidR="00B16384" w:rsidRPr="00B16384">
        <w:rPr>
          <w:rFonts w:ascii="Times New Roman" w:eastAsia="Times New Roman" w:hAnsi="Times New Roman"/>
          <w:sz w:val="28"/>
          <w:szCs w:val="28"/>
        </w:rPr>
        <w:t>Башкортостанского</w:t>
      </w:r>
      <w:proofErr w:type="spellEnd"/>
      <w:r w:rsidR="00B16384" w:rsidRPr="00B16384">
        <w:rPr>
          <w:rFonts w:ascii="Times New Roman" w:eastAsia="Times New Roman" w:hAnsi="Times New Roman"/>
          <w:sz w:val="28"/>
          <w:szCs w:val="28"/>
        </w:rPr>
        <w:t xml:space="preserve"> регионального отделения политической партии «ПАТРИОТЫ РОССИИ»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года. </w:t>
      </w:r>
    </w:p>
    <w:p w:rsidR="00723CBE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>2.Направить настоящее решение в участковые избирательные комиссии.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Pr="00B00A10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6F4B1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6F4B1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265326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265326"/>
    <w:rsid w:val="00340581"/>
    <w:rsid w:val="00352913"/>
    <w:rsid w:val="003D1D03"/>
    <w:rsid w:val="00401A48"/>
    <w:rsid w:val="00464AA0"/>
    <w:rsid w:val="004A52A8"/>
    <w:rsid w:val="005004F6"/>
    <w:rsid w:val="00573A80"/>
    <w:rsid w:val="005903A0"/>
    <w:rsid w:val="00590B1B"/>
    <w:rsid w:val="005D5C0C"/>
    <w:rsid w:val="006F4B1E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87891"/>
    <w:rsid w:val="00993079"/>
    <w:rsid w:val="009A77F5"/>
    <w:rsid w:val="009B6EE6"/>
    <w:rsid w:val="009D20A5"/>
    <w:rsid w:val="009E0D94"/>
    <w:rsid w:val="00A257A1"/>
    <w:rsid w:val="00A63C43"/>
    <w:rsid w:val="00AA3E62"/>
    <w:rsid w:val="00B00A10"/>
    <w:rsid w:val="00B10427"/>
    <w:rsid w:val="00B16384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EE2F0B"/>
    <w:rsid w:val="00F1219C"/>
    <w:rsid w:val="00F578A6"/>
    <w:rsid w:val="00FB3626"/>
    <w:rsid w:val="00FC441B"/>
    <w:rsid w:val="00FD237F"/>
    <w:rsid w:val="00FD4086"/>
    <w:rsid w:val="00FE1369"/>
    <w:rsid w:val="00FE3D23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4</cp:revision>
  <cp:lastPrinted>2020-06-27T12:30:00Z</cp:lastPrinted>
  <dcterms:created xsi:type="dcterms:W3CDTF">2020-07-22T11:49:00Z</dcterms:created>
  <dcterms:modified xsi:type="dcterms:W3CDTF">2020-07-22T12:43:00Z</dcterms:modified>
</cp:coreProperties>
</file>